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rPr>
      </w:pPr>
      <w:r w:rsidDel="00000000" w:rsidR="00000000" w:rsidRPr="00000000">
        <w:rPr>
          <w:rtl w:val="0"/>
        </w:rPr>
      </w:r>
    </w:p>
    <w:tbl>
      <w:tblPr>
        <w:tblStyle w:val="Table1"/>
        <w:tblpPr w:leftFromText="180" w:rightFromText="180" w:topFromText="180" w:bottomFromText="180" w:vertAnchor="text" w:horzAnchor="text" w:tblpX="-930" w:tblpY="0"/>
        <w:tblW w:w="14895.0" w:type="dxa"/>
        <w:jc w:val="left"/>
        <w:tblInd w:w="-9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0"/>
        <w:gridCol w:w="11505"/>
        <w:tblGridChange w:id="0">
          <w:tblGrid>
            <w:gridCol w:w="3390"/>
            <w:gridCol w:w="11505"/>
          </w:tblGrid>
        </w:tblGridChange>
      </w:tblGrid>
      <w:tr>
        <w:trPr>
          <w:cantSplit w:val="0"/>
          <w:trHeight w:val="60" w:hRule="atLeast"/>
          <w:tblHeader w:val="0"/>
        </w:trPr>
        <w:tc>
          <w:tcPr>
            <w:gridSpan w:val="2"/>
            <w:shd w:fill="003366" w:val="clear"/>
            <w:vAlign w:val="center"/>
          </w:tcPr>
          <w:p w:rsidR="00000000" w:rsidDel="00000000" w:rsidP="00000000" w:rsidRDefault="00000000" w:rsidRPr="00000000" w14:paraId="00000002">
            <w:pPr>
              <w:widowControl w:val="0"/>
              <w:spacing w:after="120" w:before="120" w:line="280" w:lineRule="auto"/>
              <w:jc w:val="center"/>
              <w:rPr>
                <w:rFonts w:ascii="Calibri" w:cs="Calibri" w:eastAsia="Calibri" w:hAnsi="Calibri"/>
                <w:b w:val="1"/>
                <w:bCs w:val="1"/>
                <w:i w:val="1"/>
                <w:iCs w:val="1"/>
                <w:color w:val="ffffff"/>
                <w:sz w:val="30"/>
                <w:szCs w:val="30"/>
              </w:rPr>
            </w:pPr>
            <w:r w:rsidDel="00000000" w:rsidR="00000000" w:rsidRPr="00000000">
              <w:rPr>
                <w:rFonts w:ascii="Calibri" w:cs="Calibri" w:eastAsia="Calibri" w:hAnsi="Calibri"/>
                <w:b w:val="1"/>
                <w:bCs w:val="1"/>
                <w:color w:val="ffffff"/>
                <w:sz w:val="30"/>
                <w:szCs w:val="30"/>
                <w:rtl w:val="0"/>
              </w:rPr>
              <w:t xml:space="preserve">What did “Education for the Black Community” look like at the Lucy Simms School?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4">
            <w:pPr>
              <w:widowControl w:val="0"/>
              <w:spacing w:after="60" w:before="60" w:line="240" w:lineRule="auto"/>
              <w:rPr>
                <w:rFonts w:ascii="Calibri" w:cs="Calibri" w:eastAsia="Calibri" w:hAnsi="Calibri"/>
                <w:b w:val="1"/>
                <w:bCs w:val="1"/>
                <w:color w:val="1f497d"/>
              </w:rPr>
            </w:pPr>
            <w:r w:rsidDel="00000000" w:rsidR="00000000" w:rsidRPr="00000000">
              <w:rPr>
                <w:rFonts w:ascii="Calibri" w:cs="Calibri" w:eastAsia="Calibri" w:hAnsi="Calibri"/>
                <w:b w:val="1"/>
                <w:bCs w:val="1"/>
                <w:color w:val="1f497d"/>
                <w:rtl w:val="0"/>
              </w:rPr>
              <w:t xml:space="preserve">C3 Framework Standard</w:t>
            </w:r>
          </w:p>
        </w:tc>
        <w:tc>
          <w:tcPr>
            <w:vAlign w:val="center"/>
          </w:tcPr>
          <w:p w:rsidR="00000000" w:rsidDel="00000000" w:rsidP="00000000" w:rsidRDefault="00000000" w:rsidRPr="00000000" w14:paraId="00000005">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D2.Geo.2.9-12. Use maps, satellite images, photographs, and other representations to explain relationships between the locations of places and regions and their political, cultural, and economic dynamics.</w:t>
            </w:r>
          </w:p>
          <w:p w:rsidR="00000000" w:rsidDel="00000000" w:rsidP="00000000" w:rsidRDefault="00000000" w:rsidRPr="00000000" w14:paraId="00000006">
            <w:pPr>
              <w:widowControl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07">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D2.His.2.9-12. Analyze change and continuity in historical eras.</w:t>
            </w:r>
          </w:p>
          <w:p w:rsidR="00000000" w:rsidDel="00000000" w:rsidP="00000000" w:rsidRDefault="00000000" w:rsidRPr="00000000" w14:paraId="00000008">
            <w:pPr>
              <w:widowControl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09">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D2.His.4.9-12. Analyze complex and interacting factors that influenced the perspectives of people during different historical eras.</w:t>
            </w:r>
          </w:p>
        </w:tc>
      </w:tr>
    </w:tbl>
    <w:p w:rsidR="00000000" w:rsidDel="00000000" w:rsidP="00000000" w:rsidRDefault="00000000" w:rsidRPr="00000000" w14:paraId="0000000A">
      <w:pPr>
        <w:widowControl w:val="0"/>
        <w:spacing w:line="240" w:lineRule="auto"/>
        <w:ind w:left="-810" w:right="-810" w:firstLine="0"/>
        <w:rPr>
          <w:rFonts w:ascii="Calibri" w:cs="Calibri" w:eastAsia="Calibri" w:hAnsi="Calibri"/>
          <w:highlight w:val="white"/>
        </w:rPr>
      </w:pPr>
      <w:r w:rsidDel="00000000" w:rsidR="00000000" w:rsidRPr="00000000">
        <w:rPr>
          <w:rFonts w:ascii="Calibri" w:cs="Calibri" w:eastAsia="Calibri" w:hAnsi="Calibri"/>
          <w:i w:val="1"/>
          <w:iCs w:val="1"/>
          <w:highlight w:val="white"/>
          <w:rtl w:val="0"/>
        </w:rPr>
        <w:t xml:space="preserve">After reconstruction and the abolishment of slavery necessities such as education came to light for the Black Community of America. The Decades between Reconstruction and Desegregation saw inequities of materials and opportunities between white and black schools, but not in educators, love, and care. Education of the Black Community looked different before and after segregation bringing challenges, new opportunities, and generations of teachers and voices lost. In this lesson students will explore primary and secondary sources </w:t>
      </w:r>
      <w:r w:rsidDel="00000000" w:rsidR="00000000" w:rsidRPr="00000000">
        <w:rPr>
          <w:rtl w:val="0"/>
        </w:rPr>
      </w:r>
    </w:p>
    <w:tbl>
      <w:tblPr>
        <w:tblStyle w:val="Table2"/>
        <w:tblW w:w="1492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925"/>
        <w:tblGridChange w:id="0">
          <w:tblGrid>
            <w:gridCol w:w="14925"/>
          </w:tblGrid>
        </w:tblGridChange>
      </w:tblGrid>
      <w:tr>
        <w:trPr>
          <w:cantSplit w:val="0"/>
          <w:tblHeader w:val="0"/>
        </w:trPr>
        <w:tc>
          <w:tcPr>
            <w:shd w:fill="205595" w:val="clear"/>
            <w:vAlign w:val="center"/>
          </w:tcPr>
          <w:p w:rsidR="00000000" w:rsidDel="00000000" w:rsidP="00000000" w:rsidRDefault="00000000" w:rsidRPr="00000000" w14:paraId="0000000B">
            <w:pPr>
              <w:widowControl w:val="0"/>
              <w:spacing w:after="40" w:before="4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Featured Sources</w:t>
            </w:r>
          </w:p>
        </w:tc>
      </w:tr>
      <w:tr>
        <w:trPr>
          <w:cantSplit w:val="0"/>
          <w:trHeight w:val="525" w:hRule="atLeast"/>
          <w:tblHeader w:val="0"/>
        </w:trPr>
        <w:tc>
          <w:tcPr/>
          <w:p w:rsidR="00000000" w:rsidDel="00000000" w:rsidP="00000000" w:rsidRDefault="00000000" w:rsidRPr="00000000" w14:paraId="0000000C">
            <w:pPr>
              <w:spacing w:after="120" w:before="120" w:line="240" w:lineRule="auto"/>
              <w:rPr>
                <w:rFonts w:ascii="Calibri" w:cs="Calibri" w:eastAsia="Calibri" w:hAnsi="Calibri"/>
                <w:b w:val="1"/>
                <w:bCs w:val="1"/>
              </w:rPr>
            </w:pPr>
            <w:hyperlink r:id="rId6">
              <w:r w:rsidDel="00000000" w:rsidR="00000000" w:rsidRPr="00000000">
                <w:rPr>
                  <w:rFonts w:ascii="Calibri" w:cs="Calibri" w:eastAsia="Calibri" w:hAnsi="Calibri"/>
                  <w:b w:val="1"/>
                  <w:bCs w:val="1"/>
                  <w:color w:val="1155cc"/>
                  <w:u w:val="single"/>
                  <w:rtl w:val="0"/>
                </w:rPr>
                <w:t xml:space="preserve">Source A: Photos of Lucy Simms School</w:t>
              </w:r>
            </w:hyperlink>
            <w:r w:rsidDel="00000000" w:rsidR="00000000" w:rsidRPr="00000000">
              <w:rPr>
                <w:rtl w:val="0"/>
              </w:rPr>
            </w:r>
          </w:p>
          <w:p w:rsidR="00000000" w:rsidDel="00000000" w:rsidP="00000000" w:rsidRDefault="00000000" w:rsidRPr="00000000" w14:paraId="0000000D">
            <w:pPr>
              <w:spacing w:after="120" w:before="120" w:line="240" w:lineRule="auto"/>
              <w:rPr>
                <w:rFonts w:ascii="Calibri" w:cs="Calibri" w:eastAsia="Calibri" w:hAnsi="Calibri"/>
                <w:b w:val="1"/>
                <w:bCs w:val="1"/>
              </w:rPr>
            </w:pPr>
            <w:hyperlink r:id="rId7">
              <w:r w:rsidDel="00000000" w:rsidR="00000000" w:rsidRPr="00000000">
                <w:rPr>
                  <w:rFonts w:ascii="Calibri" w:cs="Calibri" w:eastAsia="Calibri" w:hAnsi="Calibri"/>
                  <w:b w:val="1"/>
                  <w:bCs w:val="1"/>
                  <w:color w:val="1155cc"/>
                  <w:u w:val="single"/>
                  <w:rtl w:val="0"/>
                </w:rPr>
                <w:t xml:space="preserve">Source B: Mapping Activity for Lucy Simms School</w:t>
              </w:r>
            </w:hyperlink>
            <w:r w:rsidDel="00000000" w:rsidR="00000000" w:rsidRPr="00000000">
              <w:rPr>
                <w:rtl w:val="0"/>
              </w:rPr>
            </w:r>
          </w:p>
          <w:p w:rsidR="00000000" w:rsidDel="00000000" w:rsidP="00000000" w:rsidRDefault="00000000" w:rsidRPr="00000000" w14:paraId="0000000E">
            <w:pPr>
              <w:spacing w:after="120" w:before="120" w:line="240" w:lineRule="auto"/>
              <w:rPr>
                <w:rFonts w:ascii="Calibri" w:cs="Calibri" w:eastAsia="Calibri" w:hAnsi="Calibri"/>
                <w:b w:val="1"/>
                <w:bCs w:val="1"/>
              </w:rPr>
            </w:pPr>
            <w:hyperlink r:id="rId8">
              <w:r w:rsidDel="00000000" w:rsidR="00000000" w:rsidRPr="00000000">
                <w:rPr>
                  <w:rFonts w:ascii="Calibri" w:cs="Calibri" w:eastAsia="Calibri" w:hAnsi="Calibri"/>
                  <w:b w:val="1"/>
                  <w:bCs w:val="1"/>
                  <w:color w:val="1155cc"/>
                  <w:u w:val="single"/>
                  <w:rtl w:val="0"/>
                </w:rPr>
                <w:t xml:space="preserve">Source C: Anne Byrd and Carol Raymond Interview Excerpts</w:t>
              </w:r>
            </w:hyperlink>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F">
            <w:pPr>
              <w:spacing w:after="120" w:before="120" w:line="240" w:lineRule="auto"/>
              <w:rPr>
                <w:rFonts w:ascii="Calibri" w:cs="Calibri" w:eastAsia="Calibri" w:hAnsi="Calibri"/>
                <w:b w:val="1"/>
                <w:bCs w:val="1"/>
              </w:rPr>
            </w:pPr>
            <w:hyperlink r:id="rId9">
              <w:r w:rsidDel="00000000" w:rsidR="00000000" w:rsidRPr="00000000">
                <w:rPr>
                  <w:rFonts w:ascii="Calibri" w:cs="Calibri" w:eastAsia="Calibri" w:hAnsi="Calibri"/>
                  <w:b w:val="1"/>
                  <w:bCs w:val="1"/>
                  <w:color w:val="1155cc"/>
                  <w:u w:val="single"/>
                  <w:rtl w:val="0"/>
                </w:rPr>
                <w:t xml:space="preserve">Source D: Mary Ann Smith Tucker Interview Excerpt</w:t>
              </w:r>
            </w:hyperlink>
            <w:r w:rsidDel="00000000" w:rsidR="00000000" w:rsidRPr="00000000">
              <w:rPr>
                <w:rFonts w:ascii="Calibri" w:cs="Calibri" w:eastAsia="Calibri" w:hAnsi="Calibri"/>
                <w:b w:val="1"/>
                <w:bCs w:val="1"/>
                <w:rtl w:val="0"/>
              </w:rPr>
              <w:t xml:space="preserve"> </w:t>
            </w:r>
          </w:p>
        </w:tc>
      </w:tr>
    </w:tbl>
    <w:p w:rsidR="00000000" w:rsidDel="00000000" w:rsidP="00000000" w:rsidRDefault="00000000" w:rsidRPr="00000000" w14:paraId="00000010">
      <w:pPr>
        <w:widowControl w:val="0"/>
        <w:spacing w:line="240" w:lineRule="auto"/>
        <w:rPr>
          <w:rFonts w:ascii="Calibri" w:cs="Calibri" w:eastAsia="Calibri" w:hAnsi="Calibri"/>
        </w:rPr>
      </w:pPr>
      <w:r w:rsidDel="00000000" w:rsidR="00000000" w:rsidRPr="00000000">
        <w:rPr>
          <w:rtl w:val="0"/>
        </w:rPr>
      </w:r>
    </w:p>
    <w:tbl>
      <w:tblPr>
        <w:tblStyle w:val="Table3"/>
        <w:tblW w:w="14925.0" w:type="dxa"/>
        <w:jc w:val="left"/>
        <w:tblInd w:w="-9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55"/>
        <w:gridCol w:w="270"/>
        <w:gridCol w:w="8100"/>
        <w:tblGridChange w:id="0">
          <w:tblGrid>
            <w:gridCol w:w="6555"/>
            <w:gridCol w:w="270"/>
            <w:gridCol w:w="8100"/>
          </w:tblGrid>
        </w:tblGridChange>
      </w:tblGrid>
      <w:tr>
        <w:trPr>
          <w:cantSplit w:val="0"/>
          <w:tblHeader w:val="0"/>
        </w:trPr>
        <w:tc>
          <w:tcPr>
            <w:shd w:fill="205595" w:val="clear"/>
            <w:vAlign w:val="center"/>
          </w:tcPr>
          <w:p w:rsidR="00000000" w:rsidDel="00000000" w:rsidP="00000000" w:rsidRDefault="00000000" w:rsidRPr="00000000" w14:paraId="00000011">
            <w:pPr>
              <w:widowControl w:val="0"/>
              <w:spacing w:after="40" w:before="4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Formative Performance Tasks </w:t>
            </w:r>
          </w:p>
        </w:tc>
        <w:tc>
          <w:tcPr>
            <w:tcBorders>
              <w:top w:color="000000" w:space="0" w:sz="0" w:val="nil"/>
              <w:bottom w:color="000000" w:space="0" w:sz="0" w:val="nil"/>
            </w:tcBorders>
            <w:vAlign w:val="center"/>
          </w:tcPr>
          <w:p w:rsidR="00000000" w:rsidDel="00000000" w:rsidP="00000000" w:rsidRDefault="00000000" w:rsidRPr="00000000" w14:paraId="00000012">
            <w:pPr>
              <w:widowControl w:val="0"/>
              <w:spacing w:after="40" w:before="40" w:line="240" w:lineRule="auto"/>
              <w:jc w:val="center"/>
              <w:rPr>
                <w:rFonts w:ascii="Calibri" w:cs="Calibri" w:eastAsia="Calibri" w:hAnsi="Calibri"/>
                <w:b w:val="1"/>
                <w:bCs w:val="1"/>
                <w:color w:val="ffffff"/>
              </w:rPr>
            </w:pPr>
            <w:r w:rsidDel="00000000" w:rsidR="00000000" w:rsidRPr="00000000">
              <w:rPr>
                <w:rtl w:val="0"/>
              </w:rPr>
            </w:r>
          </w:p>
        </w:tc>
        <w:tc>
          <w:tcPr>
            <w:shd w:fill="205595" w:val="clear"/>
            <w:vAlign w:val="center"/>
          </w:tcPr>
          <w:p w:rsidR="00000000" w:rsidDel="00000000" w:rsidP="00000000" w:rsidRDefault="00000000" w:rsidRPr="00000000" w14:paraId="00000013">
            <w:pPr>
              <w:widowControl w:val="0"/>
              <w:spacing w:after="40" w:before="4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Teacher Guidance</w:t>
            </w:r>
          </w:p>
        </w:tc>
      </w:tr>
      <w:tr>
        <w:trPr>
          <w:cantSplit w:val="0"/>
          <w:trHeight w:val="620" w:hRule="atLeast"/>
          <w:tblHeader w:val="0"/>
        </w:trPr>
        <w:tc>
          <w:tcPr/>
          <w:p w:rsidR="00000000" w:rsidDel="00000000" w:rsidP="00000000" w:rsidRDefault="00000000" w:rsidRPr="00000000" w14:paraId="00000014">
            <w:pPr>
              <w:keepLines w:val="1"/>
              <w:numPr>
                <w:ilvl w:val="0"/>
                <w:numId w:val="1"/>
              </w:numPr>
              <w:tabs>
                <w:tab w:val="left" w:leader="none" w:pos="891"/>
              </w:tabs>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COLLABORATE: Through source analysis, students will examine the sources and complete the organizers together.</w:t>
            </w:r>
          </w:p>
          <w:p w:rsidR="00000000" w:rsidDel="00000000" w:rsidP="00000000" w:rsidRDefault="00000000" w:rsidRPr="00000000" w14:paraId="00000015">
            <w:pPr>
              <w:keepLines w:val="1"/>
              <w:tabs>
                <w:tab w:val="left" w:leader="none" w:pos="891"/>
              </w:tabs>
              <w:spacing w:after="0" w:before="0"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6">
            <w:pPr>
              <w:keepLines w:val="1"/>
              <w:numPr>
                <w:ilvl w:val="0"/>
                <w:numId w:val="1"/>
              </w:numPr>
              <w:tabs>
                <w:tab w:val="left" w:leader="none" w:pos="891"/>
              </w:tabs>
              <w:spacing w:after="120" w:before="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COMPARE &amp; CONTRAST: Students will utilize all four sources to compare and contrast education of Black Community in the valley before and after desegregation. </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7">
            <w:pPr>
              <w:spacing w:after="120" w:before="12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8">
            <w:pPr>
              <w:keepLines w:val="1"/>
              <w:tabs>
                <w:tab w:val="left" w:leader="none" w:pos="891"/>
              </w:tabs>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Students start by exploring a slidedeck of pictures of students at the Lucy F. Simms School and filling out the ‘K’ and ‘W’ section of their </w:t>
            </w:r>
            <w:hyperlink r:id="rId10">
              <w:r w:rsidDel="00000000" w:rsidR="00000000" w:rsidRPr="00000000">
                <w:rPr>
                  <w:rFonts w:ascii="Calibri" w:cs="Calibri" w:eastAsia="Calibri" w:hAnsi="Calibri"/>
                  <w:color w:val="1155cc"/>
                  <w:u w:val="single"/>
                  <w:rtl w:val="0"/>
                </w:rPr>
                <w:t xml:space="preserve">KWL Chart</w:t>
              </w:r>
            </w:hyperlink>
            <w:r w:rsidDel="00000000" w:rsidR="00000000" w:rsidRPr="00000000">
              <w:rPr>
                <w:rFonts w:ascii="Calibri" w:cs="Calibri" w:eastAsia="Calibri" w:hAnsi="Calibri"/>
                <w:rtl w:val="0"/>
              </w:rPr>
              <w:t xml:space="preserve">. After questions and observations are given, students will be instructed to read the two excerpts from the “Celebrating Simms Exhibit” and then fill out the ‘L’ section of their chart.</w:t>
            </w:r>
          </w:p>
          <w:p w:rsidR="00000000" w:rsidDel="00000000" w:rsidP="00000000" w:rsidRDefault="00000000" w:rsidRPr="00000000" w14:paraId="00000019">
            <w:pPr>
              <w:keepLines w:val="1"/>
              <w:tabs>
                <w:tab w:val="left" w:leader="none" w:pos="891"/>
              </w:tabs>
              <w:spacing w:after="120" w:before="120"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A">
            <w:pPr>
              <w:keepLines w:val="1"/>
              <w:tabs>
                <w:tab w:val="left" w:leader="none" w:pos="891"/>
              </w:tabs>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From there, students will explore the reality of travel to and from Simms by completing the “</w:t>
            </w:r>
            <w:hyperlink r:id="rId11">
              <w:r w:rsidDel="00000000" w:rsidR="00000000" w:rsidRPr="00000000">
                <w:rPr>
                  <w:rFonts w:ascii="Calibri" w:cs="Calibri" w:eastAsia="Calibri" w:hAnsi="Calibri"/>
                  <w:color w:val="1155cc"/>
                  <w:u w:val="single"/>
                  <w:rtl w:val="0"/>
                </w:rPr>
                <w:t xml:space="preserve">Mapping Activity for Lucy Simms School</w:t>
              </w:r>
            </w:hyperlink>
            <w:r w:rsidDel="00000000" w:rsidR="00000000" w:rsidRPr="00000000">
              <w:rPr>
                <w:rFonts w:ascii="Calibri" w:cs="Calibri" w:eastAsia="Calibri" w:hAnsi="Calibri"/>
                <w:rtl w:val="0"/>
              </w:rPr>
              <w:t xml:space="preserve">”. Students will map out the major travel routes of Simms students, read an excerpt from the “</w:t>
            </w:r>
            <w:hyperlink r:id="rId12">
              <w:r w:rsidDel="00000000" w:rsidR="00000000" w:rsidRPr="00000000">
                <w:rPr>
                  <w:rFonts w:ascii="Calibri" w:cs="Calibri" w:eastAsia="Calibri" w:hAnsi="Calibri"/>
                  <w:color w:val="1155cc"/>
                  <w:u w:val="single"/>
                  <w:rtl w:val="0"/>
                </w:rPr>
                <w:t xml:space="preserve">Many Roads to Simms</w:t>
              </w:r>
            </w:hyperlink>
            <w:r w:rsidDel="00000000" w:rsidR="00000000" w:rsidRPr="00000000">
              <w:rPr>
                <w:rFonts w:ascii="Calibri" w:cs="Calibri" w:eastAsia="Calibri" w:hAnsi="Calibri"/>
                <w:rtl w:val="0"/>
              </w:rPr>
              <w:t xml:space="preserve">”, and listen to Wilhelmina Johnson discuss her memories of traveling to the Simms Center.</w:t>
            </w:r>
          </w:p>
          <w:p w:rsidR="00000000" w:rsidDel="00000000" w:rsidP="00000000" w:rsidRDefault="00000000" w:rsidRPr="00000000" w14:paraId="0000001B">
            <w:pPr>
              <w:keepLines w:val="1"/>
              <w:tabs>
                <w:tab w:val="left" w:leader="none" w:pos="891"/>
              </w:tabs>
              <w:spacing w:after="120" w:before="120" w:line="240" w:lineRule="auto"/>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1C">
            <w:pPr>
              <w:keepLines w:val="1"/>
              <w:tabs>
                <w:tab w:val="left" w:leader="none" w:pos="891"/>
              </w:tabs>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Provide students with the, “</w:t>
            </w:r>
            <w:hyperlink r:id="rId13">
              <w:r w:rsidDel="00000000" w:rsidR="00000000" w:rsidRPr="00000000">
                <w:rPr>
                  <w:rFonts w:ascii="Calibri" w:cs="Calibri" w:eastAsia="Calibri" w:hAnsi="Calibri"/>
                  <w:color w:val="1155cc"/>
                  <w:u w:val="single"/>
                  <w:rtl w:val="0"/>
                </w:rPr>
                <w:t xml:space="preserve">Memories of teachers and staff at Simms from the interview of Anne Byrd and Carol Raymond</w:t>
              </w:r>
            </w:hyperlink>
            <w:r w:rsidDel="00000000" w:rsidR="00000000" w:rsidRPr="00000000">
              <w:rPr>
                <w:rFonts w:ascii="Calibri" w:cs="Calibri" w:eastAsia="Calibri" w:hAnsi="Calibri"/>
                <w:rtl w:val="0"/>
              </w:rPr>
              <w:t xml:space="preserve">” transcript to help them answer the two guiding questions provided in , “</w:t>
            </w:r>
            <w:hyperlink r:id="rId14">
              <w:r w:rsidDel="00000000" w:rsidR="00000000" w:rsidRPr="00000000">
                <w:rPr>
                  <w:rFonts w:ascii="Calibri" w:cs="Calibri" w:eastAsia="Calibri" w:hAnsi="Calibri"/>
                  <w:color w:val="1155cc"/>
                  <w:u w:val="single"/>
                  <w:rtl w:val="0"/>
                </w:rPr>
                <w:t xml:space="preserve">The Staff of Simms Graphic Organizer</w:t>
              </w:r>
            </w:hyperlink>
            <w:r w:rsidDel="00000000" w:rsidR="00000000" w:rsidRPr="00000000">
              <w:rPr>
                <w:rFonts w:ascii="Calibri" w:cs="Calibri" w:eastAsia="Calibri" w:hAnsi="Calibri"/>
                <w:rtl w:val="0"/>
              </w:rPr>
              <w:t xml:space="preserve">”. Treat this portion as a “Think-Pair-Share” where you will have students answers the two questions on their own, discuss their findings with a partner or group, then you as the teacher call upon students to hear their variety of responses that will help the class better paint a picture of what the community of Simms was like before segregation. </w:t>
            </w:r>
          </w:p>
          <w:p w:rsidR="00000000" w:rsidDel="00000000" w:rsidP="00000000" w:rsidRDefault="00000000" w:rsidRPr="00000000" w14:paraId="0000001D">
            <w:pPr>
              <w:keepLines w:val="1"/>
              <w:tabs>
                <w:tab w:val="left" w:leader="none" w:pos="891"/>
              </w:tabs>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Students will then listen to an oral interview of Mary Ann Smith Tucker and listen to her recall early integration and what was gained and lost in the transition. Students will be provided a</w:t>
            </w:r>
            <w:hyperlink r:id="rId15">
              <w:r w:rsidDel="00000000" w:rsidR="00000000" w:rsidRPr="00000000">
                <w:rPr>
                  <w:rFonts w:ascii="Calibri" w:cs="Calibri" w:eastAsia="Calibri" w:hAnsi="Calibri"/>
                  <w:color w:val="1155cc"/>
                  <w:u w:val="single"/>
                  <w:rtl w:val="0"/>
                </w:rPr>
                <w:t xml:space="preserve"> graphic organizer</w:t>
              </w:r>
            </w:hyperlink>
            <w:r w:rsidDel="00000000" w:rsidR="00000000" w:rsidRPr="00000000">
              <w:rPr>
                <w:rFonts w:ascii="Calibri" w:cs="Calibri" w:eastAsia="Calibri" w:hAnsi="Calibri"/>
                <w:rtl w:val="0"/>
              </w:rPr>
              <w:t xml:space="preserve"> to answer guiding questions while listening to the interview and a </w:t>
            </w:r>
            <w:hyperlink r:id="rId16">
              <w:r w:rsidDel="00000000" w:rsidR="00000000" w:rsidRPr="00000000">
                <w:rPr>
                  <w:rFonts w:ascii="Calibri" w:cs="Calibri" w:eastAsia="Calibri" w:hAnsi="Calibri"/>
                  <w:color w:val="1155cc"/>
                  <w:u w:val="single"/>
                  <w:rtl w:val="0"/>
                </w:rPr>
                <w:t xml:space="preserve">transcript </w:t>
              </w:r>
            </w:hyperlink>
            <w:r w:rsidDel="00000000" w:rsidR="00000000" w:rsidRPr="00000000">
              <w:rPr>
                <w:rFonts w:ascii="Calibri" w:cs="Calibri" w:eastAsia="Calibri" w:hAnsi="Calibri"/>
                <w:rtl w:val="0"/>
              </w:rPr>
              <w:t xml:space="preserve">to help students better follow the interview or reference as they answer questions. When students get to question 8 on their graphic organizer the teacher will pause the interview and read the next question Mary Ann Smith Tucker answered aloud. Then the students will be instructed to discuss with a partner a possible answer and write down their answer before the teacher will unpause the interview. </w:t>
            </w:r>
          </w:p>
          <w:p w:rsidR="00000000" w:rsidDel="00000000" w:rsidP="00000000" w:rsidRDefault="00000000" w:rsidRPr="00000000" w14:paraId="0000001E">
            <w:pPr>
              <w:keepLines w:val="1"/>
              <w:tabs>
                <w:tab w:val="left" w:leader="none" w:pos="891"/>
              </w:tabs>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To conclude the lesson, have students summarize and compare and contrast black education before and after integration by answering the final two questions on the graphic organizer. </w:t>
            </w:r>
          </w:p>
        </w:tc>
      </w:tr>
    </w:tbl>
    <w:p w:rsidR="00000000" w:rsidDel="00000000" w:rsidP="00000000" w:rsidRDefault="00000000" w:rsidRPr="00000000" w14:paraId="0000001F">
      <w:pPr>
        <w:rPr/>
      </w:pPr>
      <w:r w:rsidDel="00000000" w:rsidR="00000000" w:rsidRPr="00000000">
        <w:rPr>
          <w:rtl w:val="0"/>
        </w:rPr>
      </w:r>
    </w:p>
    <w:sectPr>
      <w:headerReference r:id="rId17" w:type="default"/>
      <w:pgSz w:h="12240" w:w="15840" w:orient="landscape"/>
      <w:pgMar w:bottom="720" w:top="72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9rwYNSMl57Ly1-sN1F-EiQBDNaNX0BId6-0mQfFWk9E/copy?usp=sharing" TargetMode="External"/><Relationship Id="rId10" Type="http://schemas.openxmlformats.org/officeDocument/2006/relationships/hyperlink" Target="https://docs.google.com/document/d/1UzGNg9taBlecoY3K3SrrTnmRmAQgbH-RSQ4Q3hJ0v90/copy?usp=sharing" TargetMode="External"/><Relationship Id="rId13" Type="http://schemas.openxmlformats.org/officeDocument/2006/relationships/hyperlink" Target="https://docs.google.com/document/d/1wgrn4_1Wv8zNfiq9ho7t_6puMqN3K18MRlamnPQIeBE/copy?usp=sharing" TargetMode="External"/><Relationship Id="rId12" Type="http://schemas.openxmlformats.org/officeDocument/2006/relationships/hyperlink" Target="https://omeka.lib.jmu.edu/simms/exhibits/show/simms-exhibition/lucy-simms-schoo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vXU66YIGPl2JK53ekJXEW0y95s9n19WpahLSW-5ZyPI/copy?usp=sharing" TargetMode="External"/><Relationship Id="rId15" Type="http://schemas.openxmlformats.org/officeDocument/2006/relationships/hyperlink" Target="https://docs.google.com/document/d/1fkNAZSp-q6MaANtArZvJhSyKHutlk6VtORkuPMJ1q7E/copy?usp=sharing" TargetMode="External"/><Relationship Id="rId14" Type="http://schemas.openxmlformats.org/officeDocument/2006/relationships/hyperlink" Target="https://docs.google.com/document/d/1Ft2-xZptj5MEDIQAxRm99fGvuLsQC36V5zCU2XfQbrU/copy?usp=sharing" TargetMode="External"/><Relationship Id="rId17" Type="http://schemas.openxmlformats.org/officeDocument/2006/relationships/header" Target="header1.xml"/><Relationship Id="rId16" Type="http://schemas.openxmlformats.org/officeDocument/2006/relationships/hyperlink" Target="https://docs.google.com/document/d/1vXU66YIGPl2JK53ekJXEW0y95s9n19WpahLSW-5ZyPI/copy?usp=sharing" TargetMode="External"/><Relationship Id="rId5" Type="http://schemas.openxmlformats.org/officeDocument/2006/relationships/styles" Target="styles.xml"/><Relationship Id="rId6" Type="http://schemas.openxmlformats.org/officeDocument/2006/relationships/hyperlink" Target="https://docs.google.com/presentation/d/1e_gSkeqUST-y5FrRAX-UZjzaVsPYZTPPIuMoqcu3Rmc/copy?usp=sharing" TargetMode="External"/><Relationship Id="rId7" Type="http://schemas.openxmlformats.org/officeDocument/2006/relationships/hyperlink" Target="https://docs.google.com/document/d/19rwYNSMl57Ly1-sN1F-EiQBDNaNX0BId6-0mQfFWk9E/copy?usp=sharing" TargetMode="External"/><Relationship Id="rId8" Type="http://schemas.openxmlformats.org/officeDocument/2006/relationships/hyperlink" Target="https://docs.google.com/document/d/1wgrn4_1Wv8zNfiq9ho7t_6puMqN3K18MRlamnPQIeBE/copy?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